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19704" w14:textId="77777777" w:rsidR="001B5A6B" w:rsidRPr="001B5A6B" w:rsidRDefault="001B5A6B" w:rsidP="001B5A6B">
      <w:pPr>
        <w:rPr>
          <w:b/>
          <w:bCs/>
        </w:rPr>
      </w:pPr>
      <w:r w:rsidRPr="001B5A6B">
        <w:rPr>
          <w:b/>
          <w:bCs/>
        </w:rPr>
        <w:t>Ürün Güvenliği ve Denetimi Genel Müdürlüğünün 19.01.2026 tarihli ve 117870694 sayılı yazısı (Ürün Güvenliği Denetimi Tebliğleri Geçiş Süreci Geçici Maddeleri Hakkında)</w:t>
      </w:r>
    </w:p>
    <w:p w14:paraId="108B3173" w14:textId="77777777" w:rsidR="001B5A6B" w:rsidRPr="001B5A6B" w:rsidRDefault="001B5A6B" w:rsidP="001B5A6B">
      <w:r w:rsidRPr="001B5A6B">
        <w:t>T.C.</w:t>
      </w:r>
      <w:r w:rsidRPr="001B5A6B">
        <w:br/>
        <w:t>TİCARET BAKANLIĞI</w:t>
      </w:r>
      <w:r w:rsidRPr="001B5A6B">
        <w:br/>
        <w:t>Ürün Güvenliği ve Denetimi Genel Müdürlüğü</w:t>
      </w:r>
    </w:p>
    <w:p w14:paraId="46F4B6B5" w14:textId="77777777" w:rsidR="001B5A6B" w:rsidRPr="001B5A6B" w:rsidRDefault="001B5A6B" w:rsidP="001B5A6B">
      <w:r w:rsidRPr="001B5A6B">
        <w:rPr>
          <w:b/>
          <w:bCs/>
        </w:rPr>
        <w:t>Sayı: </w:t>
      </w:r>
      <w:r w:rsidRPr="001B5A6B">
        <w:t>E-24545304-554.01.01-00117870694</w:t>
      </w:r>
      <w:r w:rsidRPr="001B5A6B">
        <w:br/>
      </w:r>
      <w:r w:rsidRPr="001B5A6B">
        <w:rPr>
          <w:b/>
          <w:bCs/>
        </w:rPr>
        <w:t>Konu:</w:t>
      </w:r>
      <w:r w:rsidRPr="001B5A6B">
        <w:t> Ürün Güvenliği Denetimi Tebliğleri Geçiş</w:t>
      </w:r>
      <w:r w:rsidRPr="001B5A6B">
        <w:br/>
        <w:t>Süreci Geçici Maddeleri Hakkında</w:t>
      </w:r>
    </w:p>
    <w:p w14:paraId="351224DB" w14:textId="77777777" w:rsidR="001B5A6B" w:rsidRPr="001B5A6B" w:rsidRDefault="001B5A6B" w:rsidP="001B5A6B">
      <w:r w:rsidRPr="001B5A6B">
        <w:t>19.01.2026 / 117870694</w:t>
      </w:r>
      <w:r w:rsidRPr="001B5A6B">
        <w:br/>
        <w:t>DAĞITIM YERLERİNE</w:t>
      </w:r>
      <w:r w:rsidRPr="001B5A6B">
        <w:br/>
        <w:t>(Ankara, Bursa, İzmir, İstanbul, Mersin Gümrük Müşavirleri Derneklerine)</w:t>
      </w:r>
    </w:p>
    <w:p w14:paraId="141CBD01" w14:textId="77777777" w:rsidR="001B5A6B" w:rsidRPr="001B5A6B" w:rsidRDefault="001B5A6B" w:rsidP="001B5A6B">
      <w:r w:rsidRPr="001B5A6B">
        <w:rPr>
          <w:b/>
          <w:bCs/>
        </w:rPr>
        <w:t>İlgi: </w:t>
      </w:r>
      <w:r w:rsidRPr="001B5A6B">
        <w:t>Ankara, Bursa, İzmir, İstanbul, Mersin Gümrük Müşavirleri Derneklerinin 07.01.2026 tarihli yazısı.</w:t>
      </w:r>
    </w:p>
    <w:p w14:paraId="2D8B81DE" w14:textId="2A63C73B" w:rsidR="001B5A6B" w:rsidRPr="001B5A6B" w:rsidRDefault="001B5A6B" w:rsidP="001B5A6B">
      <w:r w:rsidRPr="001B5A6B">
        <w:t>Bilindiği üzere, 1, 2, 8, 9, 10, 11, 12, 14, 15, 16, 17, 18 ve 25 sayılı Ürün Güvenliği ve Denetimi (ÜGD) Tebliğleri’nde yer alan </w:t>
      </w:r>
      <w:r w:rsidRPr="001B5A6B">
        <w:rPr>
          <w:i/>
          <w:iCs/>
        </w:rPr>
        <w:t>“TAREKS referans numarasının gümrüklere beyanı”</w:t>
      </w:r>
      <w:r w:rsidRPr="001B5A6B">
        <w:t> başlıklı madde kapsamında önceki yıllarda bulunan sabit referans numarası uygulaması kaldırılmış olup kapsam dışı beyanlarının gümrük idareleri yerine doğrudan Dış Ticarette Risk Esaslı Kontrol Sistemi (TAREKS) üzerinden yapılmasına yönelik değişikliğe gidilmiştir. Ayrıca, geçiş süreleri, 1 Ocak 2026 tarihinden önce taşıma belgesi düzenlenmiş ürünlerle sınırlandırılmıştır.</w:t>
      </w:r>
    </w:p>
    <w:p w14:paraId="5C01E575" w14:textId="104B171D" w:rsidR="001B5A6B" w:rsidRPr="001B5A6B" w:rsidRDefault="001B5A6B" w:rsidP="001B5A6B">
      <w:r w:rsidRPr="001B5A6B">
        <w:t>Bu kapsamda, anılan ÜGD Tebliğleri (32 sayılı Tebliğ dahil) eklerinde yer alan GTİP'lerin tamamı için TAREKS başvurusu yapılması gerekmekte olup, TAREKS tarafından fiili denetime yönlendirilen başvurularda, ürünün ilgili teknik mevzuat ile GTİP karşılığında yer alan ifade açısından Bakanlıkça denetlenmesi hedeflenen ürünler arasında olup olmadığı hususları denetim birimlerince değerlendirilecektir. Birden fazla ÜGD Tebliği eki listede yer alan GTİP'ler için ürünün teknik mevzuat gereği kapsamında olduğu ÜGD Tebliği uyarınca yapılan başvuru sonrasında alınacak </w:t>
      </w:r>
      <w:r w:rsidRPr="001B5A6B">
        <w:rPr>
          <w:b/>
          <w:bCs/>
        </w:rPr>
        <w:t>bir adet referans numarasının</w:t>
      </w:r>
      <w:r w:rsidRPr="001B5A6B">
        <w:t> gümrük beyannamesine kaydedilmesi yeterli bulunmaktadır.</w:t>
      </w:r>
    </w:p>
    <w:p w14:paraId="4FCCA21A" w14:textId="77777777" w:rsidR="001B5A6B" w:rsidRPr="001B5A6B" w:rsidRDefault="001B5A6B" w:rsidP="001B5A6B">
      <w:r w:rsidRPr="001B5A6B">
        <w:t>Öte yandan, 1/1/2026 tarihinden önce çıkış ülkesinde ihraç amacıyla Türkiye’ye sevk edilmek üzere taşıma belgesi düzenlenmiş veya gümrük mevzuatı uyarınca gümrük idarelerine sunulmuş olan kapsam dışı ürünler için 28/2/2026 tarihine kadar </w:t>
      </w:r>
      <w:r w:rsidRPr="001B5A6B">
        <w:rPr>
          <w:i/>
          <w:iCs/>
        </w:rPr>
        <w:t>(bu tarih dahil)</w:t>
      </w:r>
      <w:r w:rsidRPr="001B5A6B">
        <w:t> yapılan kapsam dışı başvurularında, bir önceki yıla ait ÜGD Tebliği'nde belirtilen kapsam dışı sabit referans numarasının kullanılmasında bir sakınca bulunmamaktadır. Ancak, 1/1/2026 tarihi ve sonrasına ait taşıma belgeli ürünlerde kapsam dışı sabit referans numarası kullanımına izin verilmemektedir.</w:t>
      </w:r>
    </w:p>
    <w:p w14:paraId="7873AF29" w14:textId="35A19B69" w:rsidR="001B5A6B" w:rsidRPr="001B5A6B" w:rsidRDefault="001B5A6B" w:rsidP="001B5A6B">
      <w:r w:rsidRPr="001B5A6B">
        <w:lastRenderedPageBreak/>
        <w:t>Ayrıca, geçiş süresi boyunca önceden </w:t>
      </w:r>
      <w:r w:rsidRPr="001B5A6B">
        <w:rPr>
          <w:i/>
          <w:iCs/>
        </w:rPr>
        <w:t>“CE” İşareti Taşıması Gereken Bazı Ürünlerin İthalat Denetimi Tebliği (Ürün Güvenliği ve Denetimi: 2025/9)</w:t>
      </w:r>
      <w:r w:rsidRPr="001B5A6B">
        <w:t> kapsamındayken bu sene Makinaların İthalat Denetimi Tebliği (Ürün Güvenliği ve Denetimi: 2026/32) ekine eklenen ürünler için 2025/9 sayılı </w:t>
      </w:r>
      <w:r w:rsidRPr="001B5A6B">
        <w:rPr>
          <w:i/>
          <w:iCs/>
        </w:rPr>
        <w:t>ÜGD Tebliği</w:t>
      </w:r>
      <w:r w:rsidRPr="001B5A6B">
        <w:t> hükümlerine istinaden denetim sürdürülebilecek, 2025/9 sayılı Tebliğ ekinde yer almayıp ilk defa 2026/32 sayılı Tebliğe alınan ürünler içinse </w:t>
      </w:r>
      <w:r w:rsidRPr="001B5A6B">
        <w:rPr>
          <w:i/>
          <w:iCs/>
        </w:rPr>
        <w:t>2025/9 sayılı ÜGD Tebliği'nde</w:t>
      </w:r>
      <w:r w:rsidRPr="001B5A6B">
        <w:t> yer alan kapsam dışı sabit referans numarası kullanılabilecektir.</w:t>
      </w:r>
    </w:p>
    <w:p w14:paraId="0913B16F" w14:textId="4F51EA1F" w:rsidR="001B5A6B" w:rsidRPr="001B5A6B" w:rsidRDefault="001B5A6B" w:rsidP="001B5A6B">
      <w:r w:rsidRPr="001B5A6B">
        <w:rPr>
          <w:i/>
          <w:iCs/>
        </w:rPr>
        <w:t>Karayolu Dışında Kullanılan Hareketli Makinaların İthalat Denetimi Tebliği (Ürün Güvenliği ve Denetimi: 2026/2)'nin Ek-2'si ve Makinaların İthalat Denetimi Tebliği (Ürün Güvenliği ve Denetimi: 2026/32)'</w:t>
      </w:r>
      <w:r w:rsidRPr="001B5A6B">
        <w:t>nin Ek-2/A’sı kapsamında yer alan ithalatta ön izne tabi GTİP’ler için yapılacak kapsam dışı başvurularında; kapsam dışı olarak beyan edilmek istenen ürünler için sisteme ilgili ürünün kapsam dışı olarak değerlendirilmesine yönelik dilekçe, ürün görselleri ve faturanın yüklenmesi yeterli olup, ilgili denetim birimi Türk Standardları Enstitüsü (TSE) tarafından ithale konu ürünler için kapsam değerlendirmesi gerçekleştirileceğinin hatırlatılmasında fayda görülmektedir.</w:t>
      </w:r>
    </w:p>
    <w:p w14:paraId="538A946A" w14:textId="77777777" w:rsidR="001B5A6B" w:rsidRPr="001B5A6B" w:rsidRDefault="001B5A6B" w:rsidP="001B5A6B">
      <w:r w:rsidRPr="001B5A6B">
        <w:t>Ayrıca, yine bu yıl itibarıyla yürürlüğe giren uygulama kapsamında, fiziki denetimlerde numune alma tutanağının doldurulması ve bu tutanağın firma temsilcisi tarafından imzalanması zorunlu kılınmıştır. Firma temsilcisinin imzadan imtina etmesi durumunda, başvuru doğrudan </w:t>
      </w:r>
      <w:r w:rsidRPr="001B5A6B">
        <w:rPr>
          <w:i/>
          <w:iCs/>
        </w:rPr>
        <w:t>"Ret: Denetleme Sonucu" </w:t>
      </w:r>
      <w:r w:rsidRPr="001B5A6B">
        <w:t>ile neticelendirilecektir.</w:t>
      </w:r>
    </w:p>
    <w:p w14:paraId="066C7CFB" w14:textId="77777777" w:rsidR="001B5A6B" w:rsidRPr="001B5A6B" w:rsidRDefault="001B5A6B" w:rsidP="001B5A6B">
      <w:r w:rsidRPr="001B5A6B">
        <w:t>Öte yandan, TAREKS sisteminde her Tebliğ kapsamında xml formatında başvuru yapılabilmesi yönünde geliştirme yapılmış olup söz konusu geliştirme bir veya birden fazla Tebliğde tek seferde xml formatında kapsam dışı başvurusu yapılabilmesine de imkan tanımaktadır. Konuya ilişkin duyuru metnine TAREKS içerisinde Duyurular menüsü üzerinden, örnek formatta xml başvurusuna ise yardım menüsü üzerinden ulaşmak mümkündür.</w:t>
      </w:r>
    </w:p>
    <w:p w14:paraId="0B034DD4" w14:textId="77777777" w:rsidR="001B5A6B" w:rsidRPr="001B5A6B" w:rsidRDefault="001B5A6B" w:rsidP="001B5A6B">
      <w:r w:rsidRPr="001B5A6B">
        <w:t>Bilgilerini ve yukarıda yer alan bilgilerin üyelerinizle paylaşılması hususunda gereğini rica ederim.</w:t>
      </w:r>
    </w:p>
    <w:p w14:paraId="18CD6AAD" w14:textId="77777777" w:rsidR="001B5A6B" w:rsidRPr="001B5A6B" w:rsidRDefault="001B5A6B" w:rsidP="001B5A6B">
      <w:r w:rsidRPr="001B5A6B">
        <w:t>Hakkı KARABÖRKLÜ</w:t>
      </w:r>
      <w:r w:rsidRPr="001B5A6B">
        <w:br/>
        <w:t>Bakan a.</w:t>
      </w:r>
      <w:r w:rsidRPr="001B5A6B">
        <w:br/>
        <w:t>Genel Müdür</w:t>
      </w:r>
    </w:p>
    <w:p w14:paraId="4CE095B1" w14:textId="77777777" w:rsidR="00457C34" w:rsidRDefault="00457C34"/>
    <w:sectPr w:rsidR="00457C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7BE"/>
    <w:rsid w:val="001B5A6B"/>
    <w:rsid w:val="00457C34"/>
    <w:rsid w:val="00A86AED"/>
    <w:rsid w:val="00BA5569"/>
    <w:rsid w:val="00DA27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59B813-2E1E-4509-AA0C-953F05EE2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A27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A27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A27B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A27B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A27B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A27B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A27B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A27B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A27B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A27B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A27B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A27B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A27B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A27B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A27B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A27B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A27B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A27BE"/>
    <w:rPr>
      <w:rFonts w:eastAsiaTheme="majorEastAsia" w:cstheme="majorBidi"/>
      <w:color w:val="272727" w:themeColor="text1" w:themeTint="D8"/>
    </w:rPr>
  </w:style>
  <w:style w:type="paragraph" w:styleId="KonuBal">
    <w:name w:val="Title"/>
    <w:basedOn w:val="Normal"/>
    <w:next w:val="Normal"/>
    <w:link w:val="KonuBalChar"/>
    <w:uiPriority w:val="10"/>
    <w:qFormat/>
    <w:rsid w:val="00DA27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A27B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A27B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A27B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A27B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A27BE"/>
    <w:rPr>
      <w:i/>
      <w:iCs/>
      <w:color w:val="404040" w:themeColor="text1" w:themeTint="BF"/>
    </w:rPr>
  </w:style>
  <w:style w:type="paragraph" w:styleId="ListeParagraf">
    <w:name w:val="List Paragraph"/>
    <w:basedOn w:val="Normal"/>
    <w:uiPriority w:val="34"/>
    <w:qFormat/>
    <w:rsid w:val="00DA27BE"/>
    <w:pPr>
      <w:ind w:left="720"/>
      <w:contextualSpacing/>
    </w:pPr>
  </w:style>
  <w:style w:type="character" w:styleId="GlVurgulama">
    <w:name w:val="Intense Emphasis"/>
    <w:basedOn w:val="VarsaylanParagrafYazTipi"/>
    <w:uiPriority w:val="21"/>
    <w:qFormat/>
    <w:rsid w:val="00DA27BE"/>
    <w:rPr>
      <w:i/>
      <w:iCs/>
      <w:color w:val="0F4761" w:themeColor="accent1" w:themeShade="BF"/>
    </w:rPr>
  </w:style>
  <w:style w:type="paragraph" w:styleId="GlAlnt">
    <w:name w:val="Intense Quote"/>
    <w:basedOn w:val="Normal"/>
    <w:next w:val="Normal"/>
    <w:link w:val="GlAlntChar"/>
    <w:uiPriority w:val="30"/>
    <w:qFormat/>
    <w:rsid w:val="00DA27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A27BE"/>
    <w:rPr>
      <w:i/>
      <w:iCs/>
      <w:color w:val="0F4761" w:themeColor="accent1" w:themeShade="BF"/>
    </w:rPr>
  </w:style>
  <w:style w:type="character" w:styleId="GlBavuru">
    <w:name w:val="Intense Reference"/>
    <w:basedOn w:val="VarsaylanParagrafYazTipi"/>
    <w:uiPriority w:val="32"/>
    <w:qFormat/>
    <w:rsid w:val="00DA27BE"/>
    <w:rPr>
      <w:b/>
      <w:bCs/>
      <w:smallCaps/>
      <w:color w:val="0F4761" w:themeColor="accent1" w:themeShade="BF"/>
      <w:spacing w:val="5"/>
    </w:rPr>
  </w:style>
  <w:style w:type="character" w:styleId="Kpr">
    <w:name w:val="Hyperlink"/>
    <w:basedOn w:val="VarsaylanParagrafYazTipi"/>
    <w:uiPriority w:val="99"/>
    <w:unhideWhenUsed/>
    <w:rsid w:val="001B5A6B"/>
    <w:rPr>
      <w:color w:val="467886" w:themeColor="hyperlink"/>
      <w:u w:val="single"/>
    </w:rPr>
  </w:style>
  <w:style w:type="character" w:styleId="zmlenmeyenBahsetme">
    <w:name w:val="Unresolved Mention"/>
    <w:basedOn w:val="VarsaylanParagrafYazTipi"/>
    <w:uiPriority w:val="99"/>
    <w:semiHidden/>
    <w:unhideWhenUsed/>
    <w:rsid w:val="001B5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21120">
      <w:bodyDiv w:val="1"/>
      <w:marLeft w:val="0"/>
      <w:marRight w:val="0"/>
      <w:marTop w:val="0"/>
      <w:marBottom w:val="0"/>
      <w:divBdr>
        <w:top w:val="none" w:sz="0" w:space="0" w:color="auto"/>
        <w:left w:val="none" w:sz="0" w:space="0" w:color="auto"/>
        <w:bottom w:val="none" w:sz="0" w:space="0" w:color="auto"/>
        <w:right w:val="none" w:sz="0" w:space="0" w:color="auto"/>
      </w:divBdr>
    </w:div>
    <w:div w:id="69149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660</Words>
  <Characters>3764</Characters>
  <Application>Microsoft Office Word</Application>
  <DocSecurity>0</DocSecurity>
  <Lines>31</Lines>
  <Paragraphs>8</Paragraphs>
  <ScaleCrop>false</ScaleCrop>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Gokhan Yurdakul</dc:creator>
  <cp:keywords/>
  <dc:description/>
  <cp:lastModifiedBy>Gokhan Yurdakul</cp:lastModifiedBy>
  <cp:revision>2</cp:revision>
  <dcterms:created xsi:type="dcterms:W3CDTF">2026-01-22T09:36:00Z</dcterms:created>
  <dcterms:modified xsi:type="dcterms:W3CDTF">2026-01-22T09:38:00Z</dcterms:modified>
</cp:coreProperties>
</file>